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DC" w:rsidRPr="005E2E52" w:rsidRDefault="00CC1CDC" w:rsidP="007E2401">
      <w:pPr>
        <w:ind w:right="5220"/>
        <w:jc w:val="center"/>
        <w:rPr>
          <w:rFonts w:asciiTheme="minorHAnsi" w:hAnsiTheme="minorHAnsi" w:cstheme="minorHAnsi"/>
          <w:lang w:val="fr-FR"/>
        </w:rPr>
      </w:pPr>
    </w:p>
    <w:p w:rsidR="00CC1CDC" w:rsidRPr="005E2E52" w:rsidRDefault="00CC1CDC" w:rsidP="007E2401">
      <w:pPr>
        <w:ind w:right="5220"/>
        <w:jc w:val="center"/>
        <w:rPr>
          <w:rFonts w:asciiTheme="minorHAnsi" w:hAnsiTheme="minorHAnsi" w:cstheme="minorHAnsi"/>
          <w:lang w:val="fr-FR"/>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9"/>
        <w:gridCol w:w="9497"/>
      </w:tblGrid>
      <w:tr w:rsidR="00CC1CDC" w:rsidRPr="00C653E4" w:rsidTr="00D90A6E">
        <w:trPr>
          <w:trHeight w:val="1425"/>
        </w:trPr>
        <w:tc>
          <w:tcPr>
            <w:tcW w:w="1419" w:type="dxa"/>
            <w:tcBorders>
              <w:top w:val="nil"/>
              <w:left w:val="nil"/>
              <w:bottom w:val="nil"/>
              <w:right w:val="nil"/>
            </w:tcBorders>
          </w:tcPr>
          <w:p w:rsidR="00CC1CDC" w:rsidRPr="005E2E52" w:rsidRDefault="00CC1CDC" w:rsidP="00D90A6E">
            <w:pPr>
              <w:ind w:right="6019"/>
              <w:rPr>
                <w:rFonts w:asciiTheme="minorHAnsi" w:hAnsiTheme="minorHAnsi" w:cstheme="minorHAnsi"/>
                <w:sz w:val="16"/>
                <w:szCs w:val="16"/>
                <w:lang w:val="bg-BG"/>
              </w:rPr>
            </w:pPr>
            <w:r w:rsidRPr="005E2E52">
              <w:rPr>
                <w:rFonts w:asciiTheme="minorHAnsi" w:hAnsiTheme="minorHAnsi" w:cstheme="minorHAnsi"/>
                <w:lang w:val="fr-FR"/>
              </w:rPr>
              <w:object w:dxaOrig="1081"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ed="t">
                  <v:fill color2="black"/>
                  <v:imagedata r:id="rId7" o:title=""/>
                </v:shape>
                <o:OLEObject Type="Embed" ProgID="Word.Picture.8" ShapeID="_x0000_i1025" DrawAspect="Content" ObjectID="_1535280838" r:id="rId8"/>
              </w:object>
            </w:r>
          </w:p>
        </w:tc>
        <w:tc>
          <w:tcPr>
            <w:tcW w:w="9497" w:type="dxa"/>
            <w:tcBorders>
              <w:top w:val="nil"/>
              <w:left w:val="nil"/>
              <w:bottom w:val="nil"/>
              <w:right w:val="nil"/>
            </w:tcBorders>
          </w:tcPr>
          <w:p w:rsidR="00CC1CDC" w:rsidRPr="005E2E52" w:rsidRDefault="00CC1CDC" w:rsidP="00D90A6E">
            <w:pPr>
              <w:tabs>
                <w:tab w:val="left" w:pos="9566"/>
              </w:tabs>
              <w:spacing w:before="120" w:line="360" w:lineRule="auto"/>
              <w:jc w:val="center"/>
              <w:rPr>
                <w:rFonts w:asciiTheme="minorHAnsi" w:hAnsiTheme="minorHAnsi" w:cstheme="minorHAnsi"/>
                <w:b/>
                <w:caps/>
                <w:spacing w:val="4"/>
              </w:rPr>
            </w:pPr>
            <w:r w:rsidRPr="005E2E52">
              <w:rPr>
                <w:rFonts w:asciiTheme="minorHAnsi" w:hAnsiTheme="minorHAnsi" w:cstheme="minorHAnsi"/>
                <w:b/>
                <w:spacing w:val="4"/>
                <w:sz w:val="22"/>
                <w:szCs w:val="22"/>
                <w:lang w:eastAsia="bg-BG"/>
              </w:rPr>
              <w:t xml:space="preserve">PERMANENT  REPRESENTATION OF THE </w:t>
            </w:r>
            <w:smartTag w:uri="urn:schemas-microsoft-com:office:smarttags" w:element="PlaceType">
              <w:r w:rsidRPr="005E2E52">
                <w:rPr>
                  <w:rFonts w:asciiTheme="minorHAnsi" w:hAnsiTheme="minorHAnsi" w:cstheme="minorHAnsi"/>
                  <w:b/>
                  <w:spacing w:val="4"/>
                  <w:sz w:val="22"/>
                  <w:szCs w:val="22"/>
                  <w:lang w:eastAsia="bg-BG"/>
                </w:rPr>
                <w:t>REPUBLIC</w:t>
              </w:r>
            </w:smartTag>
            <w:r w:rsidRPr="005E2E52">
              <w:rPr>
                <w:rFonts w:asciiTheme="minorHAnsi" w:hAnsiTheme="minorHAnsi" w:cstheme="minorHAnsi"/>
                <w:b/>
                <w:spacing w:val="4"/>
                <w:sz w:val="22"/>
                <w:szCs w:val="22"/>
                <w:lang w:eastAsia="bg-BG"/>
              </w:rPr>
              <w:t xml:space="preserve"> OF </w:t>
            </w:r>
            <w:smartTag w:uri="urn:schemas-microsoft-com:office:smarttags" w:element="PlaceName">
              <w:r w:rsidRPr="005E2E52">
                <w:rPr>
                  <w:rFonts w:asciiTheme="minorHAnsi" w:hAnsiTheme="minorHAnsi" w:cstheme="minorHAnsi"/>
                  <w:b/>
                  <w:spacing w:val="4"/>
                  <w:sz w:val="22"/>
                  <w:szCs w:val="22"/>
                  <w:lang w:eastAsia="bg-BG"/>
                </w:rPr>
                <w:t>BULGARIA</w:t>
              </w:r>
            </w:smartTag>
            <w:r w:rsidRPr="005E2E52">
              <w:rPr>
                <w:rFonts w:asciiTheme="minorHAnsi" w:hAnsiTheme="minorHAnsi" w:cstheme="minorHAnsi"/>
                <w:b/>
                <w:spacing w:val="4"/>
                <w:sz w:val="22"/>
                <w:szCs w:val="22"/>
                <w:lang w:eastAsia="bg-BG"/>
              </w:rPr>
              <w:t xml:space="preserve"> TO THE EUROPEAN </w:t>
            </w:r>
            <w:smartTag w:uri="urn:schemas-microsoft-com:office:smarttags" w:element="place">
              <w:r w:rsidRPr="005E2E52">
                <w:rPr>
                  <w:rFonts w:asciiTheme="minorHAnsi" w:hAnsiTheme="minorHAnsi" w:cstheme="minorHAnsi"/>
                  <w:b/>
                  <w:spacing w:val="4"/>
                  <w:sz w:val="22"/>
                  <w:szCs w:val="22"/>
                  <w:lang w:eastAsia="bg-BG"/>
                </w:rPr>
                <w:t>UNION</w:t>
              </w:r>
            </w:smartTag>
          </w:p>
          <w:p w:rsidR="00CC1CDC" w:rsidRPr="005E2E52" w:rsidRDefault="00CC1CDC" w:rsidP="00D90A6E">
            <w:pPr>
              <w:tabs>
                <w:tab w:val="left" w:pos="9566"/>
              </w:tabs>
              <w:spacing w:line="276" w:lineRule="auto"/>
              <w:jc w:val="center"/>
              <w:rPr>
                <w:rFonts w:asciiTheme="minorHAnsi" w:hAnsiTheme="minorHAnsi" w:cstheme="minorHAnsi"/>
                <w:b/>
                <w:caps/>
                <w:spacing w:val="-8"/>
                <w:lang w:val="fr-FR"/>
              </w:rPr>
            </w:pPr>
            <w:r w:rsidRPr="005E2E52">
              <w:rPr>
                <w:rFonts w:asciiTheme="minorHAnsi" w:hAnsiTheme="minorHAnsi" w:cstheme="minorHAnsi"/>
                <w:b/>
                <w:caps/>
                <w:spacing w:val="-8"/>
                <w:sz w:val="22"/>
                <w:szCs w:val="22"/>
                <w:lang w:val="fr-FR"/>
              </w:rPr>
              <w:t>Représentation  permanente de la République de Bulgarieauprès de l’Union européenne</w:t>
            </w:r>
          </w:p>
          <w:p w:rsidR="00CC1CDC" w:rsidRPr="005E2E52" w:rsidRDefault="00CC1CDC" w:rsidP="00D90A6E">
            <w:pPr>
              <w:tabs>
                <w:tab w:val="left" w:pos="9566"/>
              </w:tabs>
              <w:ind w:left="-73"/>
              <w:jc w:val="center"/>
              <w:rPr>
                <w:rFonts w:asciiTheme="minorHAnsi" w:hAnsiTheme="minorHAnsi" w:cstheme="minorHAnsi"/>
                <w:i/>
                <w:sz w:val="18"/>
                <w:szCs w:val="18"/>
                <w:lang w:val="fr-FR"/>
              </w:rPr>
            </w:pPr>
          </w:p>
        </w:tc>
      </w:tr>
    </w:tbl>
    <w:p w:rsidR="00CC1CDC" w:rsidRPr="005E2E52" w:rsidRDefault="00CC1CDC" w:rsidP="00636C35">
      <w:pPr>
        <w:ind w:right="5220"/>
        <w:rPr>
          <w:rFonts w:asciiTheme="minorHAnsi" w:hAnsiTheme="minorHAnsi" w:cstheme="minorHAnsi"/>
          <w:lang w:val="fr-FR"/>
        </w:rPr>
      </w:pPr>
    </w:p>
    <w:p w:rsidR="004B659A" w:rsidRPr="005E2E52" w:rsidRDefault="004B659A" w:rsidP="004B659A">
      <w:pPr>
        <w:tabs>
          <w:tab w:val="left" w:pos="851"/>
        </w:tabs>
        <w:ind w:left="851"/>
        <w:jc w:val="right"/>
        <w:rPr>
          <w:rFonts w:asciiTheme="minorHAnsi" w:hAnsiTheme="minorHAnsi"/>
          <w:b/>
          <w:lang w:val="bg-BG"/>
        </w:rPr>
      </w:pPr>
      <w:r w:rsidRPr="005E2E52">
        <w:rPr>
          <w:rFonts w:asciiTheme="minorHAnsi" w:hAnsiTheme="minorHAnsi"/>
          <w:b/>
          <w:lang w:val="bg-BG"/>
        </w:rPr>
        <w:t>Превод от български език</w:t>
      </w:r>
    </w:p>
    <w:p w:rsidR="004B659A" w:rsidRPr="005E2E52" w:rsidRDefault="004B659A" w:rsidP="004B659A">
      <w:pPr>
        <w:tabs>
          <w:tab w:val="left" w:pos="851"/>
        </w:tabs>
        <w:ind w:left="851"/>
        <w:jc w:val="both"/>
        <w:rPr>
          <w:rFonts w:asciiTheme="minorHAnsi" w:hAnsiTheme="minorHAnsi"/>
          <w:b/>
          <w:lang w:val="fr-FR"/>
        </w:rPr>
      </w:pPr>
    </w:p>
    <w:p w:rsidR="004B659A" w:rsidRPr="005E2E52" w:rsidRDefault="004B659A" w:rsidP="004B659A">
      <w:pPr>
        <w:tabs>
          <w:tab w:val="left" w:pos="851"/>
        </w:tabs>
        <w:jc w:val="both"/>
        <w:rPr>
          <w:rFonts w:asciiTheme="minorHAnsi" w:hAnsiTheme="minorHAnsi"/>
          <w:b/>
          <w:lang w:val="bg-BG"/>
        </w:rPr>
      </w:pPr>
      <w:r w:rsidRPr="005E2E52">
        <w:rPr>
          <w:rFonts w:asciiTheme="minorHAnsi" w:hAnsiTheme="minorHAnsi"/>
          <w:b/>
          <w:lang w:val="fr-FR"/>
        </w:rPr>
        <w:t xml:space="preserve">Nos </w:t>
      </w:r>
      <w:proofErr w:type="spellStart"/>
      <w:r w:rsidRPr="005E2E52">
        <w:rPr>
          <w:rFonts w:asciiTheme="minorHAnsi" w:hAnsiTheme="minorHAnsi"/>
          <w:b/>
          <w:lang w:val="fr-FR"/>
        </w:rPr>
        <w:t>ref</w:t>
      </w:r>
      <w:proofErr w:type="spellEnd"/>
      <w:r w:rsidR="00C653E4">
        <w:rPr>
          <w:rFonts w:asciiTheme="minorHAnsi" w:hAnsiTheme="minorHAnsi"/>
          <w:b/>
          <w:lang w:val="bg-BG"/>
        </w:rPr>
        <w:t xml:space="preserve"> №Фв-15-247</w:t>
      </w:r>
      <w:r w:rsidR="007A6DD0">
        <w:rPr>
          <w:rFonts w:asciiTheme="minorHAnsi" w:hAnsiTheme="minorHAnsi"/>
          <w:b/>
        </w:rPr>
        <w:t>6</w:t>
      </w:r>
      <w:bookmarkStart w:id="0" w:name="_GoBack"/>
      <w:bookmarkEnd w:id="0"/>
      <w:r w:rsidRPr="005E2E52">
        <w:rPr>
          <w:rFonts w:asciiTheme="minorHAnsi" w:hAnsiTheme="minorHAnsi"/>
          <w:b/>
          <w:lang w:val="fr-FR"/>
        </w:rPr>
        <w:t>/</w:t>
      </w:r>
      <w:r w:rsidRPr="005E2E52">
        <w:rPr>
          <w:rFonts w:asciiTheme="minorHAnsi" w:hAnsiTheme="minorHAnsi"/>
          <w:b/>
          <w:lang w:val="bg-BG"/>
        </w:rPr>
        <w:t>12</w:t>
      </w:r>
      <w:r w:rsidRPr="005E2E52">
        <w:rPr>
          <w:rFonts w:asciiTheme="minorHAnsi" w:hAnsiTheme="minorHAnsi"/>
          <w:b/>
          <w:lang w:val="fr-FR"/>
        </w:rPr>
        <w:t>.0</w:t>
      </w:r>
      <w:r w:rsidRPr="005E2E52">
        <w:rPr>
          <w:rFonts w:asciiTheme="minorHAnsi" w:hAnsiTheme="minorHAnsi"/>
          <w:b/>
          <w:lang w:val="bg-BG"/>
        </w:rPr>
        <w:t>9</w:t>
      </w:r>
      <w:r w:rsidRPr="005E2E52">
        <w:rPr>
          <w:rFonts w:asciiTheme="minorHAnsi" w:hAnsiTheme="minorHAnsi"/>
          <w:b/>
          <w:lang w:val="fr-FR"/>
        </w:rPr>
        <w:t>.2016</w:t>
      </w:r>
    </w:p>
    <w:p w:rsidR="004B659A" w:rsidRPr="005E2E52" w:rsidRDefault="004B659A" w:rsidP="004B659A">
      <w:pPr>
        <w:tabs>
          <w:tab w:val="left" w:pos="851"/>
          <w:tab w:val="left" w:pos="3119"/>
        </w:tabs>
        <w:ind w:left="851"/>
        <w:jc w:val="both"/>
        <w:rPr>
          <w:rFonts w:asciiTheme="minorHAnsi" w:hAnsiTheme="minorHAnsi"/>
          <w:b/>
          <w:lang w:val="bg-BG"/>
        </w:rPr>
      </w:pPr>
    </w:p>
    <w:p w:rsidR="004B659A" w:rsidRPr="005E2E52" w:rsidRDefault="004B659A" w:rsidP="004B659A">
      <w:pPr>
        <w:ind w:left="851"/>
        <w:jc w:val="both"/>
        <w:rPr>
          <w:rFonts w:asciiTheme="minorHAnsi" w:hAnsiTheme="minorHAnsi"/>
          <w:b/>
          <w:smallCaps/>
          <w:lang w:val="bg-BG"/>
        </w:rPr>
      </w:pPr>
    </w:p>
    <w:p w:rsidR="004B659A" w:rsidRPr="005E2E52" w:rsidRDefault="004B659A" w:rsidP="004B659A">
      <w:pPr>
        <w:ind w:left="4111"/>
        <w:jc w:val="both"/>
        <w:rPr>
          <w:rFonts w:asciiTheme="minorHAnsi" w:hAnsiTheme="minorHAnsi"/>
          <w:b/>
          <w:lang w:val="fr-FR"/>
        </w:rPr>
      </w:pPr>
    </w:p>
    <w:p w:rsidR="004B659A" w:rsidRPr="005E2E52" w:rsidRDefault="004B659A" w:rsidP="004B659A">
      <w:pPr>
        <w:jc w:val="right"/>
        <w:rPr>
          <w:rFonts w:asciiTheme="minorHAnsi" w:hAnsiTheme="minorHAnsi"/>
          <w:b/>
          <w:lang w:val="fr-FR"/>
        </w:rPr>
      </w:pPr>
      <w:r w:rsidRPr="005E2E52">
        <w:rPr>
          <w:rFonts w:asciiTheme="minorHAnsi" w:hAnsiTheme="minorHAnsi"/>
          <w:b/>
          <w:lang w:val="fr-FR"/>
        </w:rPr>
        <w:t xml:space="preserve">AUX PARTICIPANTS POTENTIELS </w:t>
      </w:r>
    </w:p>
    <w:p w:rsidR="004B659A" w:rsidRPr="005E2E52" w:rsidRDefault="004B659A" w:rsidP="004B659A">
      <w:pPr>
        <w:ind w:left="4111"/>
        <w:jc w:val="both"/>
        <w:rPr>
          <w:rFonts w:asciiTheme="minorHAnsi" w:hAnsiTheme="minorHAnsi"/>
          <w:b/>
          <w:lang w:val="bg-BG"/>
        </w:rPr>
      </w:pPr>
    </w:p>
    <w:p w:rsidR="004B659A" w:rsidRPr="005E2E52" w:rsidRDefault="004B659A" w:rsidP="004B659A">
      <w:pPr>
        <w:autoSpaceDE w:val="0"/>
        <w:autoSpaceDN w:val="0"/>
        <w:adjustRightInd w:val="0"/>
        <w:jc w:val="both"/>
        <w:rPr>
          <w:rFonts w:asciiTheme="minorHAnsi" w:hAnsiTheme="minorHAnsi"/>
          <w:lang w:val="bg-BG"/>
        </w:rPr>
      </w:pPr>
    </w:p>
    <w:p w:rsidR="004B659A" w:rsidRPr="00C653E4" w:rsidRDefault="004B659A" w:rsidP="004B659A">
      <w:pPr>
        <w:jc w:val="both"/>
        <w:rPr>
          <w:rFonts w:asciiTheme="minorHAnsi" w:hAnsiTheme="minorHAnsi"/>
          <w:lang w:val="fr-FR"/>
        </w:rPr>
      </w:pPr>
    </w:p>
    <w:p w:rsidR="004B659A" w:rsidRPr="00C653E4" w:rsidRDefault="004B659A" w:rsidP="004B659A">
      <w:pPr>
        <w:jc w:val="both"/>
        <w:rPr>
          <w:rFonts w:asciiTheme="minorHAnsi" w:hAnsiTheme="minorHAnsi"/>
          <w:lang w:val="fr-FR"/>
        </w:rPr>
      </w:pPr>
    </w:p>
    <w:p w:rsidR="004B659A" w:rsidRPr="00C653E4" w:rsidRDefault="004B659A" w:rsidP="004B659A">
      <w:pPr>
        <w:jc w:val="both"/>
        <w:rPr>
          <w:rFonts w:asciiTheme="minorHAnsi" w:hAnsiTheme="minorHAnsi"/>
          <w:lang w:val="fr-FR"/>
        </w:rPr>
      </w:pPr>
    </w:p>
    <w:p w:rsidR="004B659A" w:rsidRPr="005E2E52" w:rsidRDefault="004B659A" w:rsidP="004B659A">
      <w:pPr>
        <w:jc w:val="both"/>
        <w:rPr>
          <w:rFonts w:asciiTheme="minorHAnsi" w:hAnsiTheme="minorHAnsi"/>
          <w:b/>
          <w:lang w:val="bg-BG"/>
        </w:rPr>
      </w:pPr>
      <w:r w:rsidRPr="005E2E52">
        <w:rPr>
          <w:rFonts w:asciiTheme="minorHAnsi" w:hAnsiTheme="minorHAnsi"/>
          <w:lang w:val="fr-FR"/>
        </w:rPr>
        <w:t xml:space="preserve">Suite aux questions reçus sur la procédure de collecte d’offres </w:t>
      </w:r>
      <w:r w:rsidR="005E2E52" w:rsidRPr="005E2E52">
        <w:rPr>
          <w:rFonts w:asciiTheme="minorHAnsi" w:hAnsiTheme="minorHAnsi"/>
          <w:lang w:val="fr-FR"/>
        </w:rPr>
        <w:t>concernant</w:t>
      </w:r>
      <w:r w:rsidRPr="005E2E52">
        <w:rPr>
          <w:rFonts w:asciiTheme="minorHAnsi" w:hAnsiTheme="minorHAnsi"/>
          <w:lang w:val="fr-FR"/>
        </w:rPr>
        <w:t xml:space="preserve"> l’ Appel d’offre public conformément à l’Article 186 de la Loi sur les marchés publics avec objet “</w:t>
      </w:r>
      <w:r w:rsidRPr="005E2E52">
        <w:rPr>
          <w:rFonts w:asciiTheme="minorHAnsi" w:hAnsiTheme="minorHAnsi"/>
          <w:b/>
          <w:lang w:val="fr-FR"/>
        </w:rPr>
        <w:t>Travaux de fourniture et installation de menuiserie d’aluminiumpour fenêtres et portes ainsi que des travaux de réparation annexe dans le bâtiment de la Représentation permanente de Bulgarie auprès de l’UE à Bruxelles, Royaume de Belgique</w:t>
      </w:r>
      <w:r w:rsidRPr="005E2E52">
        <w:rPr>
          <w:rFonts w:asciiTheme="minorHAnsi" w:hAnsiTheme="minorHAnsi"/>
          <w:b/>
          <w:lang w:val="bg-BG"/>
        </w:rPr>
        <w:t>“</w:t>
      </w:r>
    </w:p>
    <w:p w:rsidR="004B659A" w:rsidRPr="005E2E52" w:rsidRDefault="004B659A" w:rsidP="004B659A">
      <w:pPr>
        <w:jc w:val="both"/>
        <w:rPr>
          <w:rFonts w:asciiTheme="minorHAnsi" w:hAnsiTheme="minorHAnsi"/>
          <w:lang w:val="bg-BG"/>
        </w:rPr>
      </w:pPr>
    </w:p>
    <w:p w:rsidR="004B659A" w:rsidRPr="005E2E52" w:rsidRDefault="004B659A" w:rsidP="004B659A">
      <w:pPr>
        <w:ind w:firstLine="709"/>
        <w:jc w:val="both"/>
        <w:rPr>
          <w:rFonts w:asciiTheme="minorHAnsi" w:hAnsiTheme="minorHAnsi"/>
          <w:i/>
          <w:lang w:val="fr-FR"/>
        </w:rPr>
      </w:pPr>
    </w:p>
    <w:p w:rsidR="004B659A" w:rsidRPr="005E2E52" w:rsidRDefault="004B659A" w:rsidP="004B659A">
      <w:pPr>
        <w:jc w:val="both"/>
        <w:rPr>
          <w:rFonts w:asciiTheme="minorHAnsi" w:hAnsiTheme="minorHAnsi"/>
          <w:lang w:val="fr-FR"/>
        </w:rPr>
      </w:pPr>
      <w:r w:rsidRPr="005E2E52">
        <w:rPr>
          <w:rFonts w:asciiTheme="minorHAnsi" w:hAnsiTheme="minorHAnsi"/>
          <w:b/>
          <w:lang w:val="fr-FR"/>
        </w:rPr>
        <w:t>Question N 1: “</w:t>
      </w:r>
      <w:r w:rsidRPr="005E2E52">
        <w:rPr>
          <w:rFonts w:asciiTheme="minorHAnsi" w:hAnsiTheme="minorHAnsi"/>
          <w:lang w:val="fr-FR"/>
        </w:rPr>
        <w:t xml:space="preserve">Selon l’Appel d’offre publié </w:t>
      </w:r>
      <w:r w:rsidRPr="005E2E52">
        <w:rPr>
          <w:rFonts w:asciiTheme="minorHAnsi" w:hAnsiTheme="minorHAnsi"/>
          <w:lang w:val="bg-BG"/>
        </w:rPr>
        <w:t xml:space="preserve">- </w:t>
      </w:r>
      <w:r w:rsidRPr="005E2E52">
        <w:rPr>
          <w:rFonts w:asciiTheme="minorHAnsi" w:hAnsiTheme="minorHAnsi"/>
          <w:lang w:val="fr-FR"/>
        </w:rPr>
        <w:t>dans la proposition d’offre des participants  il n’est pas nécessaire de fournir une déclaration de visite des locaux  - qui n’est pas obligatoire. Alors que dans la spécification technique il est mentionné: “</w:t>
      </w:r>
      <w:r w:rsidRPr="005E2E52">
        <w:rPr>
          <w:rFonts w:asciiTheme="minorHAnsi" w:hAnsiTheme="minorHAnsi"/>
          <w:i/>
          <w:lang w:val="fr-FR"/>
        </w:rPr>
        <w:t>Avant de soumettre son offre chaque participant devra visiter et examiner les locaux et prendre sur place les dimensions exactes, et la localisation de chaque vitrine (et des cloisons d’aluminium).</w:t>
      </w:r>
      <w:r w:rsidRPr="005E2E52">
        <w:rPr>
          <w:rFonts w:asciiTheme="minorHAnsi" w:hAnsiTheme="minorHAnsi"/>
          <w:b/>
          <w:lang w:val="fr-FR"/>
        </w:rPr>
        <w:t xml:space="preserve"> ”</w:t>
      </w:r>
    </w:p>
    <w:p w:rsidR="004B659A" w:rsidRPr="00C653E4" w:rsidRDefault="004B659A" w:rsidP="004B659A">
      <w:pPr>
        <w:jc w:val="both"/>
        <w:rPr>
          <w:rFonts w:asciiTheme="minorHAnsi" w:hAnsiTheme="minorHAnsi"/>
          <w:lang w:val="fr-FR"/>
        </w:rPr>
      </w:pPr>
    </w:p>
    <w:p w:rsidR="004B659A" w:rsidRPr="005E2E52" w:rsidRDefault="004B659A" w:rsidP="004B659A">
      <w:pPr>
        <w:jc w:val="both"/>
        <w:rPr>
          <w:rFonts w:asciiTheme="minorHAnsi" w:hAnsiTheme="minorHAnsi"/>
          <w:lang w:val="fr-FR"/>
        </w:rPr>
      </w:pPr>
      <w:r w:rsidRPr="005E2E52">
        <w:rPr>
          <w:rFonts w:asciiTheme="minorHAnsi" w:hAnsiTheme="minorHAnsi"/>
          <w:lang w:val="fr-FR"/>
        </w:rPr>
        <w:t>L’Entité adjudicatrice doit préciser si la visite des locaux est obligatoire. Une contradiction existe dans le texte de l’Avis d’appel d’offre et la spécification technique. Etant donné que le bâtiment  se trouve en dehors des frontières de la République de Bulgarie une visite des locaux aura un coût considérable</w:t>
      </w:r>
      <w:r w:rsidRPr="005E2E52">
        <w:rPr>
          <w:rFonts w:asciiTheme="minorHAnsi" w:hAnsiTheme="minorHAnsi" w:cs="Arial"/>
          <w:color w:val="222222"/>
          <w:lang w:val="fr-FR"/>
        </w:rPr>
        <w:t>, ce qui en soi pourrait être interprété comme condition discriminatoire et mettra  dans une position favorable uniquement les participants sur le marché local ".</w:t>
      </w:r>
    </w:p>
    <w:p w:rsidR="004B659A" w:rsidRPr="005E2E52" w:rsidRDefault="004B659A" w:rsidP="004B659A">
      <w:pPr>
        <w:jc w:val="both"/>
        <w:rPr>
          <w:rFonts w:asciiTheme="minorHAnsi" w:hAnsiTheme="minorHAnsi"/>
          <w:lang w:val="fr-FR"/>
        </w:rPr>
      </w:pPr>
    </w:p>
    <w:p w:rsidR="004B659A" w:rsidRPr="005E2E52" w:rsidRDefault="004B659A" w:rsidP="004B659A">
      <w:pPr>
        <w:jc w:val="both"/>
        <w:rPr>
          <w:rFonts w:asciiTheme="minorHAnsi" w:hAnsiTheme="minorHAnsi"/>
          <w:lang w:val="fr-FR"/>
        </w:rPr>
      </w:pPr>
    </w:p>
    <w:p w:rsidR="004B659A" w:rsidRPr="005E2E52" w:rsidRDefault="004B659A" w:rsidP="004B659A">
      <w:pPr>
        <w:ind w:firstLine="709"/>
        <w:jc w:val="both"/>
        <w:rPr>
          <w:rFonts w:asciiTheme="minorHAnsi" w:hAnsiTheme="minorHAnsi"/>
          <w:lang w:val="fr-FR"/>
        </w:rPr>
      </w:pPr>
    </w:p>
    <w:p w:rsidR="004B659A" w:rsidRPr="005E2E52" w:rsidRDefault="004B659A" w:rsidP="004B659A">
      <w:pPr>
        <w:tabs>
          <w:tab w:val="left" w:pos="709"/>
        </w:tabs>
        <w:jc w:val="both"/>
        <w:rPr>
          <w:rFonts w:asciiTheme="minorHAnsi" w:hAnsiTheme="minorHAnsi"/>
          <w:lang w:val="bg-BG"/>
        </w:rPr>
      </w:pPr>
      <w:r w:rsidRPr="005E2E52">
        <w:rPr>
          <w:rFonts w:asciiTheme="minorHAnsi" w:hAnsiTheme="minorHAnsi"/>
          <w:b/>
          <w:lang w:val="fr-FR"/>
        </w:rPr>
        <w:t>Question N2:</w:t>
      </w:r>
      <w:r w:rsidRPr="005E2E52">
        <w:rPr>
          <w:rFonts w:asciiTheme="minorHAnsi" w:hAnsiTheme="minorHAnsi"/>
          <w:lang w:val="bg-BG"/>
        </w:rPr>
        <w:t>„</w:t>
      </w:r>
      <w:r w:rsidRPr="005E2E52">
        <w:rPr>
          <w:rFonts w:asciiTheme="minorHAnsi" w:hAnsiTheme="minorHAnsi"/>
          <w:lang w:val="fr-FR"/>
        </w:rPr>
        <w:t>Dans la spécification technique sont inscrits des marques spécifiques et modèles de profils et système de châssis en aluminium</w:t>
      </w:r>
      <w:r w:rsidRPr="005E2E52">
        <w:rPr>
          <w:rFonts w:asciiTheme="minorHAnsi" w:hAnsiTheme="minorHAnsi"/>
          <w:lang w:val="bg-BG"/>
        </w:rPr>
        <w:t>,</w:t>
      </w:r>
      <w:r w:rsidRPr="005E2E52">
        <w:rPr>
          <w:rFonts w:asciiTheme="minorHAnsi" w:hAnsiTheme="minorHAnsi"/>
          <w:lang w:val="fr-FR"/>
        </w:rPr>
        <w:t xml:space="preserve"> ce</w:t>
      </w:r>
      <w:r w:rsidRPr="005E2E52">
        <w:rPr>
          <w:rFonts w:asciiTheme="minorHAnsi" w:hAnsiTheme="minorHAnsi" w:cs="Arial"/>
          <w:color w:val="222222"/>
          <w:lang w:val="fr-FR"/>
        </w:rPr>
        <w:t xml:space="preserve"> qui, selon les dispositions de la Loi sur les marchés publics est interdit. </w:t>
      </w:r>
      <w:r w:rsidRPr="005E2E52">
        <w:rPr>
          <w:rFonts w:asciiTheme="minorHAnsi" w:hAnsiTheme="minorHAnsi"/>
          <w:lang w:val="fr-FR"/>
        </w:rPr>
        <w:t>En plus ils ne se vendent pas sur le marché bulgare</w:t>
      </w:r>
      <w:r w:rsidRPr="005E2E52">
        <w:rPr>
          <w:rFonts w:asciiTheme="minorHAnsi" w:hAnsiTheme="minorHAnsi"/>
          <w:lang w:val="bg-BG"/>
        </w:rPr>
        <w:t>.</w:t>
      </w:r>
    </w:p>
    <w:p w:rsidR="004B659A" w:rsidRPr="005E2E52" w:rsidRDefault="004B659A" w:rsidP="004B659A">
      <w:pPr>
        <w:tabs>
          <w:tab w:val="left" w:pos="709"/>
        </w:tabs>
        <w:jc w:val="both"/>
        <w:rPr>
          <w:rFonts w:asciiTheme="minorHAnsi" w:hAnsiTheme="minorHAnsi"/>
          <w:lang w:val="bg-BG"/>
        </w:rPr>
      </w:pPr>
    </w:p>
    <w:p w:rsidR="004B659A" w:rsidRPr="005E2E52" w:rsidRDefault="004B659A" w:rsidP="004B659A">
      <w:pPr>
        <w:jc w:val="both"/>
        <w:rPr>
          <w:rFonts w:asciiTheme="minorHAnsi" w:hAnsiTheme="minorHAnsi"/>
          <w:color w:val="0070C0"/>
          <w:lang w:val="bg-BG"/>
        </w:rPr>
      </w:pPr>
    </w:p>
    <w:p w:rsidR="004B659A" w:rsidRPr="005E2E52" w:rsidRDefault="004B659A" w:rsidP="004B659A">
      <w:pPr>
        <w:jc w:val="both"/>
        <w:rPr>
          <w:rFonts w:asciiTheme="minorHAnsi" w:hAnsiTheme="minorHAnsi" w:cs="Arial"/>
          <w:color w:val="222222"/>
          <w:lang w:val="fr-FR"/>
        </w:rPr>
      </w:pPr>
      <w:r w:rsidRPr="005E2E52">
        <w:rPr>
          <w:rFonts w:asciiTheme="minorHAnsi" w:hAnsiTheme="minorHAnsi" w:cs="Arial"/>
          <w:color w:val="222222"/>
          <w:lang w:val="fr-FR"/>
        </w:rPr>
        <w:t xml:space="preserve">L’Entité adjudicatrice doit préciser si les participants doivent utiliser dans les offres les matériaux décrits dans la spécification technique ou ils peuvent proposer des matériaux équivalents avec les mêmes caractéristiques ou des caractéristiques meilleures que celles décrites par l’Entité adjudicatrice. </w:t>
      </w:r>
    </w:p>
    <w:p w:rsidR="004B659A" w:rsidRPr="005E2E52" w:rsidRDefault="004B659A" w:rsidP="004B659A">
      <w:pPr>
        <w:jc w:val="both"/>
        <w:rPr>
          <w:rFonts w:asciiTheme="minorHAnsi" w:hAnsiTheme="minorHAnsi"/>
          <w:lang w:val="fr-FR"/>
        </w:rPr>
      </w:pPr>
    </w:p>
    <w:p w:rsidR="004B659A" w:rsidRPr="005E2E52" w:rsidRDefault="004B659A" w:rsidP="004B659A">
      <w:pPr>
        <w:jc w:val="both"/>
        <w:rPr>
          <w:rFonts w:asciiTheme="minorHAnsi" w:hAnsiTheme="minorHAnsi"/>
          <w:lang w:val="bg-BG"/>
        </w:rPr>
      </w:pPr>
    </w:p>
    <w:p w:rsidR="004B659A" w:rsidRPr="005E2E52" w:rsidRDefault="004B659A" w:rsidP="004B659A">
      <w:pPr>
        <w:jc w:val="both"/>
        <w:rPr>
          <w:rFonts w:asciiTheme="minorHAnsi" w:hAnsiTheme="minorHAnsi" w:cs="Arial"/>
          <w:color w:val="222222"/>
          <w:lang w:val="fr-FR"/>
        </w:rPr>
      </w:pPr>
      <w:r w:rsidRPr="005E2E52">
        <w:rPr>
          <w:rFonts w:asciiTheme="minorHAnsi" w:hAnsiTheme="minorHAnsi"/>
          <w:b/>
          <w:lang w:val="fr-FR"/>
        </w:rPr>
        <w:t>Réponse N</w:t>
      </w:r>
      <w:r w:rsidRPr="005E2E52">
        <w:rPr>
          <w:rFonts w:asciiTheme="minorHAnsi" w:hAnsiTheme="minorHAnsi"/>
          <w:b/>
          <w:lang w:val="bg-BG"/>
        </w:rPr>
        <w:t>1</w:t>
      </w:r>
      <w:r w:rsidRPr="005E2E52">
        <w:rPr>
          <w:rFonts w:asciiTheme="minorHAnsi" w:hAnsiTheme="minorHAnsi"/>
          <w:b/>
          <w:lang w:val="fr-FR"/>
        </w:rPr>
        <w:t>:</w:t>
      </w:r>
      <w:r w:rsidRPr="005E2E52">
        <w:rPr>
          <w:rFonts w:asciiTheme="minorHAnsi" w:hAnsiTheme="minorHAnsi" w:cs="Arial"/>
          <w:color w:val="222222"/>
          <w:lang w:val="fr-FR"/>
        </w:rPr>
        <w:t>Le participant est responsable de l’offre qu’il soumet compte tenu des exigences de l’Entité adjudicatrice et des dispositions de la Loi sur les marchés publics. Dans la spécification technique et le Cahier des charges toutes les quantités et types de matériaux (ou leur équivalents) pour les activités de construction et de montage de châssis d'aluminium sont prévus. Pour la réalisation de travaux de qualité du marché public, le participant doit juger par lui-même si la visite des locaux du marché public est nécessaire et de prendre sur places les mesures exactes pour chacune des vitrines (et des cloisons d’aluminium,). Dans le cas où le participant n’effectue pas une visite des locaux, L’Entité adjudicatrice acceptera son offre comme finale, sans droit de modifications.</w:t>
      </w:r>
    </w:p>
    <w:p w:rsidR="004B659A" w:rsidRPr="005E2E52" w:rsidRDefault="004B659A" w:rsidP="004B659A">
      <w:pPr>
        <w:jc w:val="both"/>
        <w:rPr>
          <w:rFonts w:asciiTheme="minorHAnsi" w:hAnsiTheme="minorHAnsi" w:cs="Arial"/>
          <w:color w:val="222222"/>
          <w:lang w:val="fr-FR"/>
        </w:rPr>
      </w:pPr>
    </w:p>
    <w:p w:rsidR="004B659A" w:rsidRPr="005E2E52" w:rsidRDefault="004B659A" w:rsidP="004B659A">
      <w:pPr>
        <w:jc w:val="both"/>
        <w:rPr>
          <w:rFonts w:asciiTheme="minorHAnsi" w:hAnsiTheme="minorHAnsi" w:cs="Arial"/>
          <w:color w:val="222222"/>
          <w:lang w:val="fr-FR"/>
        </w:rPr>
      </w:pPr>
    </w:p>
    <w:p w:rsidR="004B659A" w:rsidRPr="005E2E52" w:rsidRDefault="004B659A" w:rsidP="004B659A">
      <w:pPr>
        <w:jc w:val="both"/>
        <w:rPr>
          <w:rFonts w:asciiTheme="minorHAnsi" w:hAnsiTheme="minorHAnsi" w:cs="Arial"/>
          <w:color w:val="222222"/>
          <w:lang w:val="fr-FR"/>
        </w:rPr>
      </w:pPr>
      <w:r w:rsidRPr="005E2E52">
        <w:rPr>
          <w:rFonts w:asciiTheme="minorHAnsi" w:hAnsiTheme="minorHAnsi" w:cs="Arial"/>
          <w:b/>
          <w:color w:val="222222"/>
          <w:lang w:val="fr-FR"/>
        </w:rPr>
        <w:t>Réponse N2</w:t>
      </w:r>
      <w:r w:rsidRPr="005E2E52">
        <w:rPr>
          <w:rFonts w:asciiTheme="minorHAnsi" w:hAnsiTheme="minorHAnsi" w:cs="Arial"/>
          <w:color w:val="222222"/>
          <w:lang w:val="fr-FR"/>
        </w:rPr>
        <w:t> : L’entité adjudicatrice acceptera des participants</w:t>
      </w:r>
      <w:r w:rsidRPr="005E2E52">
        <w:rPr>
          <w:rFonts w:asciiTheme="minorHAnsi" w:hAnsiTheme="minorHAnsi" w:cs="Arial"/>
          <w:color w:val="222222"/>
          <w:lang w:val="bg-BG"/>
        </w:rPr>
        <w:t>,</w:t>
      </w:r>
      <w:r w:rsidRPr="005E2E52">
        <w:rPr>
          <w:rFonts w:asciiTheme="minorHAnsi" w:hAnsiTheme="minorHAnsi" w:cs="Arial"/>
          <w:color w:val="222222"/>
          <w:lang w:val="fr-FR"/>
        </w:rPr>
        <w:t xml:space="preserve"> des châssis d’aluminium sans limite dans les marques ni modèles avec les mêmes caractéristiques ou des caractéristiques meilleures que les marques et modèles décrits dans la spécification technique.</w:t>
      </w:r>
    </w:p>
    <w:p w:rsidR="004B659A" w:rsidRPr="005E2E52" w:rsidRDefault="004B659A" w:rsidP="004B659A">
      <w:pPr>
        <w:jc w:val="both"/>
        <w:rPr>
          <w:rFonts w:asciiTheme="minorHAnsi" w:hAnsiTheme="minorHAnsi" w:cs="Arial"/>
          <w:color w:val="222222"/>
          <w:lang w:val="fr-FR"/>
        </w:rPr>
      </w:pPr>
    </w:p>
    <w:p w:rsidR="004B659A" w:rsidRPr="005E2E52" w:rsidRDefault="004B659A" w:rsidP="004B659A">
      <w:pPr>
        <w:jc w:val="both"/>
        <w:rPr>
          <w:rFonts w:asciiTheme="minorHAnsi" w:hAnsiTheme="minorHAnsi" w:cs="Arial"/>
          <w:color w:val="222222"/>
          <w:lang w:val="fr-FR"/>
        </w:rPr>
      </w:pPr>
    </w:p>
    <w:p w:rsidR="004B659A" w:rsidRPr="005E2E52" w:rsidRDefault="004B659A" w:rsidP="004B659A">
      <w:pPr>
        <w:jc w:val="both"/>
        <w:rPr>
          <w:rFonts w:asciiTheme="minorHAnsi" w:hAnsiTheme="minorHAnsi" w:cs="Arial"/>
          <w:color w:val="222222"/>
          <w:lang w:val="fr-FR"/>
        </w:rPr>
      </w:pPr>
    </w:p>
    <w:p w:rsidR="004B659A" w:rsidRPr="005E2E52" w:rsidRDefault="004B659A" w:rsidP="004B659A">
      <w:pPr>
        <w:tabs>
          <w:tab w:val="left" w:pos="3969"/>
        </w:tabs>
        <w:ind w:left="5040" w:right="-477"/>
        <w:rPr>
          <w:rFonts w:asciiTheme="minorHAnsi" w:hAnsiTheme="minorHAnsi"/>
          <w:lang w:val="fr-FR"/>
        </w:rPr>
      </w:pP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cs="Arial"/>
          <w:color w:val="222222"/>
          <w:lang w:val="fr-FR"/>
        </w:rPr>
        <w:tab/>
      </w:r>
      <w:r w:rsidRPr="005E2E52">
        <w:rPr>
          <w:rFonts w:asciiTheme="minorHAnsi" w:hAnsiTheme="minorHAnsi"/>
          <w:lang w:val="fr-FR"/>
        </w:rPr>
        <w:t xml:space="preserve">           (</w:t>
      </w:r>
      <w:proofErr w:type="gramStart"/>
      <w:r w:rsidRPr="005E2E52">
        <w:rPr>
          <w:rFonts w:asciiTheme="minorHAnsi" w:hAnsiTheme="minorHAnsi"/>
          <w:lang w:val="bg-BG"/>
        </w:rPr>
        <w:t>подпис</w:t>
      </w:r>
      <w:proofErr w:type="gramEnd"/>
      <w:r w:rsidRPr="005E2E52">
        <w:rPr>
          <w:rFonts w:asciiTheme="minorHAnsi" w:hAnsiTheme="minorHAnsi"/>
          <w:lang w:val="fr-FR"/>
        </w:rPr>
        <w:t>)</w:t>
      </w:r>
    </w:p>
    <w:p w:rsidR="004B659A" w:rsidRPr="005E2E52" w:rsidRDefault="004B659A" w:rsidP="004B659A">
      <w:pPr>
        <w:jc w:val="both"/>
        <w:rPr>
          <w:rFonts w:asciiTheme="minorHAnsi" w:hAnsiTheme="minorHAnsi" w:cs="Arial"/>
          <w:color w:val="222222"/>
          <w:lang w:val="fr-FR"/>
        </w:rPr>
      </w:pPr>
    </w:p>
    <w:p w:rsidR="004B659A" w:rsidRPr="005E2E52" w:rsidRDefault="004B659A" w:rsidP="004B659A">
      <w:pPr>
        <w:ind w:left="4320" w:firstLine="720"/>
        <w:jc w:val="both"/>
        <w:rPr>
          <w:rFonts w:asciiTheme="minorHAnsi" w:hAnsiTheme="minorHAnsi" w:cs="Arial"/>
          <w:b/>
          <w:color w:val="222222"/>
          <w:lang w:val="fr-FR"/>
        </w:rPr>
      </w:pPr>
      <w:r w:rsidRPr="005E2E52">
        <w:rPr>
          <w:rFonts w:asciiTheme="minorHAnsi" w:hAnsiTheme="minorHAnsi" w:cs="Arial"/>
          <w:b/>
          <w:color w:val="222222"/>
          <w:lang w:val="fr-FR"/>
        </w:rPr>
        <w:t>Dimiter TZANTCHEV</w:t>
      </w:r>
    </w:p>
    <w:p w:rsidR="004B659A" w:rsidRPr="005E2E52" w:rsidRDefault="004B659A" w:rsidP="004B659A">
      <w:pPr>
        <w:ind w:left="4320" w:firstLine="720"/>
        <w:jc w:val="both"/>
        <w:rPr>
          <w:rFonts w:asciiTheme="minorHAnsi" w:hAnsiTheme="minorHAnsi" w:cs="Arial"/>
          <w:b/>
          <w:color w:val="222222"/>
          <w:lang w:val="fr-FR"/>
        </w:rPr>
      </w:pPr>
      <w:r w:rsidRPr="005E2E52">
        <w:rPr>
          <w:rFonts w:asciiTheme="minorHAnsi" w:hAnsiTheme="minorHAnsi" w:cs="Arial"/>
          <w:b/>
          <w:color w:val="222222"/>
          <w:lang w:val="fr-FR"/>
        </w:rPr>
        <w:t>Ambassadeur</w:t>
      </w:r>
    </w:p>
    <w:p w:rsidR="004B659A" w:rsidRPr="005E2E52" w:rsidRDefault="004B659A" w:rsidP="004B659A">
      <w:pPr>
        <w:ind w:left="5040"/>
        <w:jc w:val="both"/>
        <w:rPr>
          <w:rFonts w:asciiTheme="minorHAnsi" w:hAnsiTheme="minorHAnsi" w:cs="Arial"/>
          <w:b/>
          <w:color w:val="222222"/>
          <w:lang w:val="fr-FR"/>
        </w:rPr>
      </w:pPr>
      <w:r w:rsidRPr="005E2E52">
        <w:rPr>
          <w:rFonts w:asciiTheme="minorHAnsi" w:hAnsiTheme="minorHAnsi" w:cs="Arial"/>
          <w:b/>
          <w:color w:val="222222"/>
          <w:lang w:val="fr-FR"/>
        </w:rPr>
        <w:t>Représentant permanent de la République de Bulgarie auprès de l’UE</w:t>
      </w:r>
    </w:p>
    <w:p w:rsidR="004B659A" w:rsidRPr="005E2E52" w:rsidRDefault="004B659A" w:rsidP="00636C35">
      <w:pPr>
        <w:ind w:right="5220"/>
        <w:rPr>
          <w:rFonts w:asciiTheme="minorHAnsi" w:hAnsiTheme="minorHAnsi" w:cstheme="minorHAnsi"/>
          <w:lang w:val="fr-FR"/>
        </w:rPr>
      </w:pPr>
    </w:p>
    <w:sectPr w:rsidR="004B659A" w:rsidRPr="005E2E52" w:rsidSect="00910110">
      <w:footerReference w:type="default" r:id="rId9"/>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886" w:rsidRDefault="00F15886" w:rsidP="00EC575D">
      <w:r>
        <w:separator/>
      </w:r>
    </w:p>
  </w:endnote>
  <w:endnote w:type="continuationSeparator" w:id="1">
    <w:p w:rsidR="00F15886" w:rsidRDefault="00F15886" w:rsidP="00EC57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75D" w:rsidRDefault="00D25D6F" w:rsidP="00EC575D">
    <w:pPr>
      <w:tabs>
        <w:tab w:val="left" w:pos="9566"/>
      </w:tabs>
      <w:ind w:left="-284" w:right="-425"/>
      <w:jc w:val="center"/>
      <w:rPr>
        <w:i/>
        <w:spacing w:val="-6"/>
        <w:sz w:val="18"/>
        <w:szCs w:val="18"/>
        <w:lang w:val="fr-FR"/>
      </w:rPr>
    </w:pPr>
    <w:r w:rsidRPr="00D25D6F">
      <w:rPr>
        <w:i/>
        <w:spacing w:val="-6"/>
        <w:sz w:val="18"/>
        <w:szCs w:val="18"/>
        <w:lang w:val="fr-FR"/>
      </w:rPr>
      <w:pict>
        <v:rect id="_x0000_i1026" style="width:531.6pt;height:1pt" o:hralign="center" o:hrstd="t" o:hrnoshade="t" o:hr="t" fillcolor="black" stroked="f"/>
      </w:pict>
    </w:r>
  </w:p>
  <w:p w:rsidR="00EC575D" w:rsidRPr="00EC575D" w:rsidRDefault="00EC575D" w:rsidP="00EC575D">
    <w:pPr>
      <w:tabs>
        <w:tab w:val="left" w:pos="10206"/>
      </w:tabs>
      <w:ind w:left="-284" w:right="-425"/>
      <w:jc w:val="center"/>
      <w:rPr>
        <w:rFonts w:ascii="Calibri" w:hAnsi="Calibri" w:cs="Calibri"/>
        <w:i/>
        <w:spacing w:val="2"/>
        <w:sz w:val="16"/>
        <w:szCs w:val="16"/>
        <w:lang w:val="fr-FR"/>
      </w:rPr>
    </w:pPr>
    <w:r w:rsidRPr="00EC575D">
      <w:rPr>
        <w:i/>
        <w:spacing w:val="2"/>
        <w:sz w:val="16"/>
        <w:szCs w:val="16"/>
        <w:lang w:val="fr-FR"/>
      </w:rPr>
      <w:t xml:space="preserve">Square Marie-Louise 49,  1000 Bruxelles,  tel: +32 2 235 8300,  fax: +32 </w:t>
    </w:r>
    <w:r w:rsidR="004B659A">
      <w:rPr>
        <w:i/>
        <w:spacing w:val="2"/>
        <w:sz w:val="16"/>
        <w:szCs w:val="16"/>
        <w:lang w:val="fr-FR"/>
      </w:rPr>
      <w:t>2 374 9188, e-mail: Mission.BrusselsEU</w:t>
    </w:r>
    <w:r w:rsidRPr="00EC575D">
      <w:rPr>
        <w:i/>
        <w:spacing w:val="2"/>
        <w:sz w:val="16"/>
        <w:szCs w:val="16"/>
        <w:lang w:val="fr-FR"/>
      </w:rPr>
      <w:t>@bg-permrep.eu, web: www.bg-permrep.eu</w:t>
    </w:r>
  </w:p>
  <w:p w:rsidR="00EC575D" w:rsidRPr="00EC575D" w:rsidRDefault="00EC575D">
    <w:pPr>
      <w:pStyle w:val="Foote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886" w:rsidRDefault="00F15886" w:rsidP="00EC575D">
      <w:r>
        <w:separator/>
      </w:r>
    </w:p>
  </w:footnote>
  <w:footnote w:type="continuationSeparator" w:id="1">
    <w:p w:rsidR="00F15886" w:rsidRDefault="00F15886" w:rsidP="00EC57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F7E7DFD"/>
    <w:multiLevelType w:val="hybridMultilevel"/>
    <w:tmpl w:val="1A8A9D32"/>
    <w:lvl w:ilvl="0" w:tplc="C1321A4C">
      <w:start w:val="2"/>
      <w:numFmt w:val="bullet"/>
      <w:lvlText w:val="-"/>
      <w:lvlJc w:val="left"/>
      <w:pPr>
        <w:tabs>
          <w:tab w:val="num" w:pos="1800"/>
        </w:tabs>
        <w:ind w:left="1800" w:hanging="360"/>
      </w:pPr>
      <w:rPr>
        <w:rFonts w:ascii="Arial" w:eastAsia="Times New Roman" w:hAnsi="Aria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4098"/>
  </w:hdrShapeDefaults>
  <w:footnotePr>
    <w:footnote w:id="0"/>
    <w:footnote w:id="1"/>
  </w:footnotePr>
  <w:endnotePr>
    <w:endnote w:id="0"/>
    <w:endnote w:id="1"/>
  </w:endnotePr>
  <w:compat/>
  <w:rsids>
    <w:rsidRoot w:val="007E2401"/>
    <w:rsid w:val="00047130"/>
    <w:rsid w:val="0009680D"/>
    <w:rsid w:val="000B38EA"/>
    <w:rsid w:val="0014092D"/>
    <w:rsid w:val="00145E3C"/>
    <w:rsid w:val="00250639"/>
    <w:rsid w:val="002513AB"/>
    <w:rsid w:val="00294347"/>
    <w:rsid w:val="002975B7"/>
    <w:rsid w:val="002C31E2"/>
    <w:rsid w:val="003160C4"/>
    <w:rsid w:val="003243D5"/>
    <w:rsid w:val="00363D6A"/>
    <w:rsid w:val="00396DF3"/>
    <w:rsid w:val="00397E61"/>
    <w:rsid w:val="003C6BE6"/>
    <w:rsid w:val="003D06E0"/>
    <w:rsid w:val="00442685"/>
    <w:rsid w:val="004B659A"/>
    <w:rsid w:val="004C65FD"/>
    <w:rsid w:val="004E3D50"/>
    <w:rsid w:val="004E6AC8"/>
    <w:rsid w:val="004E7282"/>
    <w:rsid w:val="0052575B"/>
    <w:rsid w:val="00541E3F"/>
    <w:rsid w:val="005D2F0D"/>
    <w:rsid w:val="005E2E52"/>
    <w:rsid w:val="00636C35"/>
    <w:rsid w:val="00641929"/>
    <w:rsid w:val="007A6DD0"/>
    <w:rsid w:val="007B2A12"/>
    <w:rsid w:val="007C389A"/>
    <w:rsid w:val="007E2401"/>
    <w:rsid w:val="00815D6E"/>
    <w:rsid w:val="00843DC7"/>
    <w:rsid w:val="00865C48"/>
    <w:rsid w:val="008B7915"/>
    <w:rsid w:val="008D541A"/>
    <w:rsid w:val="00910110"/>
    <w:rsid w:val="009301F2"/>
    <w:rsid w:val="009463DA"/>
    <w:rsid w:val="009B5A63"/>
    <w:rsid w:val="00A050A6"/>
    <w:rsid w:val="00A73288"/>
    <w:rsid w:val="00AA4734"/>
    <w:rsid w:val="00AE6E1D"/>
    <w:rsid w:val="00AF5697"/>
    <w:rsid w:val="00B15D60"/>
    <w:rsid w:val="00B469E3"/>
    <w:rsid w:val="00BB360D"/>
    <w:rsid w:val="00BC539B"/>
    <w:rsid w:val="00C653E4"/>
    <w:rsid w:val="00C94657"/>
    <w:rsid w:val="00CC1CDC"/>
    <w:rsid w:val="00CF37E3"/>
    <w:rsid w:val="00D135C9"/>
    <w:rsid w:val="00D25D6F"/>
    <w:rsid w:val="00D672D4"/>
    <w:rsid w:val="00D90A6E"/>
    <w:rsid w:val="00DB394D"/>
    <w:rsid w:val="00E43C4B"/>
    <w:rsid w:val="00E602DD"/>
    <w:rsid w:val="00E752D1"/>
    <w:rsid w:val="00EA5999"/>
    <w:rsid w:val="00EC575D"/>
    <w:rsid w:val="00EC755C"/>
    <w:rsid w:val="00ED0A9E"/>
    <w:rsid w:val="00EE29BD"/>
    <w:rsid w:val="00F15886"/>
    <w:rsid w:val="00F17AB0"/>
    <w:rsid w:val="00F67B5E"/>
    <w:rsid w:val="00F71AC6"/>
    <w:rsid w:val="00F814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01"/>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7E2401"/>
    <w:pPr>
      <w:keepNext/>
      <w:tabs>
        <w:tab w:val="num" w:pos="432"/>
      </w:tabs>
      <w:ind w:left="432" w:hanging="432"/>
      <w:jc w:val="center"/>
      <w:outlineLvl w:val="0"/>
    </w:pPr>
    <w:rPr>
      <w:sz w:val="28"/>
      <w:szCs w:val="20"/>
      <w:lang w:val="fr-FR"/>
    </w:rPr>
  </w:style>
  <w:style w:type="paragraph" w:styleId="Heading2">
    <w:name w:val="heading 2"/>
    <w:basedOn w:val="Normal"/>
    <w:next w:val="Normal"/>
    <w:link w:val="Heading2Char"/>
    <w:uiPriority w:val="99"/>
    <w:qFormat/>
    <w:rsid w:val="007E2401"/>
    <w:pPr>
      <w:keepNext/>
      <w:tabs>
        <w:tab w:val="num" w:pos="576"/>
      </w:tabs>
      <w:ind w:left="576" w:hanging="576"/>
      <w:jc w:val="right"/>
      <w:outlineLvl w:val="1"/>
    </w:pPr>
    <w:rPr>
      <w:b/>
      <w:bCs/>
      <w:i/>
      <w:i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401"/>
    <w:rPr>
      <w:rFonts w:ascii="Times New Roman" w:hAnsi="Times New Roman" w:cs="Times New Roman"/>
      <w:sz w:val="20"/>
      <w:szCs w:val="20"/>
      <w:lang w:val="fr-FR" w:eastAsia="ar-SA" w:bidi="ar-SA"/>
    </w:rPr>
  </w:style>
  <w:style w:type="character" w:customStyle="1" w:styleId="Heading2Char">
    <w:name w:val="Heading 2 Char"/>
    <w:basedOn w:val="DefaultParagraphFont"/>
    <w:link w:val="Heading2"/>
    <w:uiPriority w:val="99"/>
    <w:locked/>
    <w:rsid w:val="007E2401"/>
    <w:rPr>
      <w:rFonts w:ascii="Times New Roman" w:hAnsi="Times New Roman" w:cs="Times New Roman"/>
      <w:b/>
      <w:bCs/>
      <w:i/>
      <w:iCs/>
      <w:sz w:val="24"/>
      <w:szCs w:val="24"/>
      <w:lang w:val="fr-FR" w:eastAsia="ar-SA" w:bidi="ar-SA"/>
    </w:rPr>
  </w:style>
  <w:style w:type="character" w:styleId="Hyperlink">
    <w:name w:val="Hyperlink"/>
    <w:basedOn w:val="DefaultParagraphFont"/>
    <w:uiPriority w:val="99"/>
    <w:rsid w:val="007E2401"/>
    <w:rPr>
      <w:rFonts w:cs="Times New Roman"/>
      <w:color w:val="0000FF"/>
      <w:u w:val="single"/>
    </w:rPr>
  </w:style>
  <w:style w:type="paragraph" w:styleId="BodyText">
    <w:name w:val="Body Text"/>
    <w:basedOn w:val="Normal"/>
    <w:link w:val="BodyTextChar"/>
    <w:uiPriority w:val="99"/>
    <w:rsid w:val="007E2401"/>
    <w:rPr>
      <w:szCs w:val="20"/>
      <w:lang w:val="bg-BG"/>
    </w:rPr>
  </w:style>
  <w:style w:type="character" w:customStyle="1" w:styleId="BodyTextChar">
    <w:name w:val="Body Text Char"/>
    <w:basedOn w:val="DefaultParagraphFont"/>
    <w:link w:val="BodyText"/>
    <w:uiPriority w:val="99"/>
    <w:locked/>
    <w:rsid w:val="007E2401"/>
    <w:rPr>
      <w:rFonts w:ascii="Times New Roman" w:hAnsi="Times New Roman" w:cs="Times New Roman"/>
      <w:sz w:val="20"/>
      <w:szCs w:val="20"/>
      <w:lang w:val="bg-BG" w:eastAsia="ar-SA" w:bidi="ar-SA"/>
    </w:rPr>
  </w:style>
  <w:style w:type="paragraph" w:styleId="Header">
    <w:name w:val="header"/>
    <w:basedOn w:val="Normal"/>
    <w:link w:val="HeaderChar"/>
    <w:uiPriority w:val="99"/>
    <w:unhideWhenUsed/>
    <w:rsid w:val="00EC575D"/>
    <w:pPr>
      <w:tabs>
        <w:tab w:val="center" w:pos="4536"/>
        <w:tab w:val="right" w:pos="9072"/>
      </w:tabs>
    </w:pPr>
  </w:style>
  <w:style w:type="character" w:customStyle="1" w:styleId="HeaderChar">
    <w:name w:val="Header Char"/>
    <w:basedOn w:val="DefaultParagraphFont"/>
    <w:link w:val="Header"/>
    <w:uiPriority w:val="99"/>
    <w:rsid w:val="00EC575D"/>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EC575D"/>
    <w:pPr>
      <w:tabs>
        <w:tab w:val="center" w:pos="4536"/>
        <w:tab w:val="right" w:pos="9072"/>
      </w:tabs>
    </w:pPr>
  </w:style>
  <w:style w:type="character" w:customStyle="1" w:styleId="FooterChar">
    <w:name w:val="Footer Char"/>
    <w:basedOn w:val="DefaultParagraphFont"/>
    <w:link w:val="Footer"/>
    <w:uiPriority w:val="99"/>
    <w:rsid w:val="00EC575D"/>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01"/>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7E2401"/>
    <w:pPr>
      <w:keepNext/>
      <w:tabs>
        <w:tab w:val="num" w:pos="432"/>
      </w:tabs>
      <w:ind w:left="432" w:hanging="432"/>
      <w:jc w:val="center"/>
      <w:outlineLvl w:val="0"/>
    </w:pPr>
    <w:rPr>
      <w:sz w:val="28"/>
      <w:szCs w:val="20"/>
      <w:lang w:val="fr-FR"/>
    </w:rPr>
  </w:style>
  <w:style w:type="paragraph" w:styleId="Heading2">
    <w:name w:val="heading 2"/>
    <w:basedOn w:val="Normal"/>
    <w:next w:val="Normal"/>
    <w:link w:val="Heading2Char"/>
    <w:uiPriority w:val="99"/>
    <w:qFormat/>
    <w:rsid w:val="007E2401"/>
    <w:pPr>
      <w:keepNext/>
      <w:tabs>
        <w:tab w:val="num" w:pos="576"/>
      </w:tabs>
      <w:ind w:left="576" w:hanging="576"/>
      <w:jc w:val="right"/>
      <w:outlineLvl w:val="1"/>
    </w:pPr>
    <w:rPr>
      <w:b/>
      <w:bCs/>
      <w:i/>
      <w:i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401"/>
    <w:rPr>
      <w:rFonts w:ascii="Times New Roman" w:hAnsi="Times New Roman" w:cs="Times New Roman"/>
      <w:sz w:val="20"/>
      <w:szCs w:val="20"/>
      <w:lang w:val="fr-FR" w:eastAsia="ar-SA" w:bidi="ar-SA"/>
    </w:rPr>
  </w:style>
  <w:style w:type="character" w:customStyle="1" w:styleId="Heading2Char">
    <w:name w:val="Heading 2 Char"/>
    <w:basedOn w:val="DefaultParagraphFont"/>
    <w:link w:val="Heading2"/>
    <w:uiPriority w:val="99"/>
    <w:locked/>
    <w:rsid w:val="007E2401"/>
    <w:rPr>
      <w:rFonts w:ascii="Times New Roman" w:hAnsi="Times New Roman" w:cs="Times New Roman"/>
      <w:b/>
      <w:bCs/>
      <w:i/>
      <w:iCs/>
      <w:sz w:val="24"/>
      <w:szCs w:val="24"/>
      <w:lang w:val="fr-FR" w:eastAsia="ar-SA" w:bidi="ar-SA"/>
    </w:rPr>
  </w:style>
  <w:style w:type="character" w:styleId="Hyperlink">
    <w:name w:val="Hyperlink"/>
    <w:basedOn w:val="DefaultParagraphFont"/>
    <w:uiPriority w:val="99"/>
    <w:rsid w:val="007E2401"/>
    <w:rPr>
      <w:rFonts w:cs="Times New Roman"/>
      <w:color w:val="0000FF"/>
      <w:u w:val="single"/>
    </w:rPr>
  </w:style>
  <w:style w:type="paragraph" w:styleId="BodyText">
    <w:name w:val="Body Text"/>
    <w:basedOn w:val="Normal"/>
    <w:link w:val="BodyTextChar"/>
    <w:uiPriority w:val="99"/>
    <w:rsid w:val="007E2401"/>
    <w:rPr>
      <w:szCs w:val="20"/>
      <w:lang w:val="bg-BG"/>
    </w:rPr>
  </w:style>
  <w:style w:type="character" w:customStyle="1" w:styleId="BodyTextChar">
    <w:name w:val="Body Text Char"/>
    <w:basedOn w:val="DefaultParagraphFont"/>
    <w:link w:val="BodyText"/>
    <w:uiPriority w:val="99"/>
    <w:locked/>
    <w:rsid w:val="007E2401"/>
    <w:rPr>
      <w:rFonts w:ascii="Times New Roman" w:hAnsi="Times New Roman" w:cs="Times New Roman"/>
      <w:sz w:val="20"/>
      <w:szCs w:val="20"/>
      <w:lang w:val="bg-BG" w:eastAsia="ar-SA" w:bidi="ar-SA"/>
    </w:rPr>
  </w:style>
  <w:style w:type="paragraph" w:styleId="Header">
    <w:name w:val="header"/>
    <w:basedOn w:val="Normal"/>
    <w:link w:val="HeaderChar"/>
    <w:uiPriority w:val="99"/>
    <w:unhideWhenUsed/>
    <w:rsid w:val="00EC575D"/>
    <w:pPr>
      <w:tabs>
        <w:tab w:val="center" w:pos="4536"/>
        <w:tab w:val="right" w:pos="9072"/>
      </w:tabs>
    </w:pPr>
  </w:style>
  <w:style w:type="character" w:customStyle="1" w:styleId="HeaderChar">
    <w:name w:val="Header Char"/>
    <w:basedOn w:val="DefaultParagraphFont"/>
    <w:link w:val="Header"/>
    <w:uiPriority w:val="99"/>
    <w:rsid w:val="00EC575D"/>
    <w:rPr>
      <w:rFonts w:ascii="Times New Roman" w:eastAsia="Times New Roman" w:hAnsi="Times New Roman"/>
      <w:sz w:val="24"/>
      <w:szCs w:val="24"/>
      <w:lang w:eastAsia="ar-SA"/>
    </w:rPr>
  </w:style>
  <w:style w:type="paragraph" w:styleId="Footer">
    <w:name w:val="footer"/>
    <w:basedOn w:val="Normal"/>
    <w:link w:val="FooterChar"/>
    <w:uiPriority w:val="99"/>
    <w:unhideWhenUsed/>
    <w:rsid w:val="00EC575D"/>
    <w:pPr>
      <w:tabs>
        <w:tab w:val="center" w:pos="4536"/>
        <w:tab w:val="right" w:pos="9072"/>
      </w:tabs>
    </w:pPr>
  </w:style>
  <w:style w:type="character" w:customStyle="1" w:styleId="FooterChar">
    <w:name w:val="Footer Char"/>
    <w:basedOn w:val="DefaultParagraphFont"/>
    <w:link w:val="Footer"/>
    <w:uiPriority w:val="99"/>
    <w:rsid w:val="00EC575D"/>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530411450">
      <w:bodyDiv w:val="1"/>
      <w:marLeft w:val="0"/>
      <w:marRight w:val="0"/>
      <w:marTop w:val="0"/>
      <w:marBottom w:val="0"/>
      <w:divBdr>
        <w:top w:val="none" w:sz="0" w:space="0" w:color="auto"/>
        <w:left w:val="none" w:sz="0" w:space="0" w:color="auto"/>
        <w:bottom w:val="none" w:sz="0" w:space="0" w:color="auto"/>
        <w:right w:val="none" w:sz="0" w:space="0" w:color="auto"/>
      </w:divBdr>
      <w:divsChild>
        <w:div w:id="1781338291">
          <w:marLeft w:val="0"/>
          <w:marRight w:val="0"/>
          <w:marTop w:val="0"/>
          <w:marBottom w:val="0"/>
          <w:divBdr>
            <w:top w:val="none" w:sz="0" w:space="0" w:color="auto"/>
            <w:left w:val="none" w:sz="0" w:space="0" w:color="auto"/>
            <w:bottom w:val="none" w:sz="0" w:space="0" w:color="auto"/>
            <w:right w:val="none" w:sz="0" w:space="0" w:color="auto"/>
          </w:divBdr>
          <w:divsChild>
            <w:div w:id="2116514913">
              <w:marLeft w:val="0"/>
              <w:marRight w:val="0"/>
              <w:marTop w:val="0"/>
              <w:marBottom w:val="0"/>
              <w:divBdr>
                <w:top w:val="none" w:sz="0" w:space="0" w:color="auto"/>
                <w:left w:val="single" w:sz="12" w:space="0" w:color="003399"/>
                <w:bottom w:val="none" w:sz="0" w:space="0" w:color="auto"/>
                <w:right w:val="single" w:sz="12" w:space="0" w:color="003399"/>
              </w:divBdr>
              <w:divsChild>
                <w:div w:id="2092659056">
                  <w:marLeft w:val="0"/>
                  <w:marRight w:val="-3375"/>
                  <w:marTop w:val="225"/>
                  <w:marBottom w:val="0"/>
                  <w:divBdr>
                    <w:top w:val="none" w:sz="0" w:space="0" w:color="auto"/>
                    <w:left w:val="none" w:sz="0" w:space="0" w:color="auto"/>
                    <w:bottom w:val="none" w:sz="0" w:space="0" w:color="auto"/>
                    <w:right w:val="none" w:sz="0" w:space="0" w:color="auto"/>
                  </w:divBdr>
                  <w:divsChild>
                    <w:div w:id="1250191117">
                      <w:marLeft w:val="0"/>
                      <w:marRight w:val="3375"/>
                      <w:marTop w:val="0"/>
                      <w:marBottom w:val="0"/>
                      <w:divBdr>
                        <w:top w:val="none" w:sz="0" w:space="0" w:color="auto"/>
                        <w:left w:val="none" w:sz="0" w:space="0" w:color="auto"/>
                        <w:bottom w:val="none" w:sz="0" w:space="0" w:color="auto"/>
                        <w:right w:val="none" w:sz="0" w:space="0" w:color="auto"/>
                      </w:divBdr>
                      <w:divsChild>
                        <w:div w:id="1830752966">
                          <w:marLeft w:val="0"/>
                          <w:marRight w:val="0"/>
                          <w:marTop w:val="0"/>
                          <w:marBottom w:val="0"/>
                          <w:divBdr>
                            <w:top w:val="none" w:sz="0" w:space="0" w:color="auto"/>
                            <w:left w:val="none" w:sz="0" w:space="0" w:color="auto"/>
                            <w:bottom w:val="none" w:sz="0" w:space="0" w:color="auto"/>
                            <w:right w:val="none" w:sz="0" w:space="0" w:color="auto"/>
                          </w:divBdr>
                          <w:divsChild>
                            <w:div w:id="169661508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72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2914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Ref</vt:lpstr>
    </vt:vector>
  </TitlesOfParts>
  <Company>MFA</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Gueorgui Gueorguiev</dc:creator>
  <cp:lastModifiedBy>mzhelyazkova</cp:lastModifiedBy>
  <cp:revision>2</cp:revision>
  <cp:lastPrinted>2013-07-25T11:50:00Z</cp:lastPrinted>
  <dcterms:created xsi:type="dcterms:W3CDTF">2016-09-13T11:08:00Z</dcterms:created>
  <dcterms:modified xsi:type="dcterms:W3CDTF">2016-09-13T11:08:00Z</dcterms:modified>
</cp:coreProperties>
</file>